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E3" w:rsidRDefault="003738E3" w:rsidP="009C77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Ankieta badającą zapotrzebowanie pracodawców na dofinansowanie kształcenia ustawicznego pracowników i pracodawców w ramach Krajowego Funduszu Szkoleniowego</w:t>
      </w:r>
    </w:p>
    <w:p w:rsidR="003738E3" w:rsidRDefault="003738E3" w:rsidP="003738E3">
      <w:pPr>
        <w:rPr>
          <w:sz w:val="24"/>
        </w:rPr>
      </w:pPr>
    </w:p>
    <w:p w:rsidR="003738E3" w:rsidRDefault="003738E3" w:rsidP="003738E3">
      <w:pPr>
        <w:rPr>
          <w:sz w:val="24"/>
        </w:rPr>
      </w:pPr>
    </w:p>
    <w:p w:rsidR="003738E3" w:rsidRDefault="003738E3" w:rsidP="003A4A94">
      <w:pPr>
        <w:rPr>
          <w:sz w:val="24"/>
        </w:rPr>
      </w:pPr>
      <w:r>
        <w:rPr>
          <w:sz w:val="24"/>
        </w:rPr>
        <w:t>Nazwa pracodawcy:</w:t>
      </w:r>
    </w:p>
    <w:p w:rsidR="003738E3" w:rsidRDefault="003738E3" w:rsidP="003738E3">
      <w:pPr>
        <w:rPr>
          <w:sz w:val="24"/>
        </w:rPr>
      </w:pPr>
    </w:p>
    <w:p w:rsidR="003738E3" w:rsidRDefault="003738E3" w:rsidP="003738E3">
      <w:pPr>
        <w:ind w:left="708" w:firstLine="708"/>
        <w:rPr>
          <w:sz w:val="24"/>
        </w:rPr>
      </w:pPr>
      <w:r>
        <w:rPr>
          <w:sz w:val="24"/>
        </w:rPr>
        <w:t>……………………………………………………………………………………………......</w:t>
      </w:r>
    </w:p>
    <w:p w:rsidR="003738E3" w:rsidRDefault="003738E3" w:rsidP="003738E3">
      <w:pPr>
        <w:rPr>
          <w:sz w:val="24"/>
        </w:rPr>
      </w:pPr>
      <w:r>
        <w:rPr>
          <w:sz w:val="24"/>
        </w:rPr>
        <w:t>Adres siedziby pracodawcy:</w:t>
      </w:r>
    </w:p>
    <w:p w:rsidR="003738E3" w:rsidRDefault="003738E3" w:rsidP="003738E3">
      <w:pPr>
        <w:rPr>
          <w:sz w:val="24"/>
        </w:rPr>
      </w:pPr>
    </w:p>
    <w:p w:rsidR="003738E3" w:rsidRDefault="003738E3" w:rsidP="003738E3">
      <w:pPr>
        <w:ind w:left="708" w:firstLine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3738E3" w:rsidRDefault="003738E3" w:rsidP="003738E3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Przedsiębiorca</w:t>
      </w:r>
    </w:p>
    <w:p w:rsidR="003738E3" w:rsidRDefault="003738E3" w:rsidP="003738E3">
      <w:pPr>
        <w:pStyle w:val="Akapitzlist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Mikroprzedsiębiorca</w:t>
      </w:r>
      <w:proofErr w:type="spellEnd"/>
      <w:r w:rsidR="00A90380">
        <w:rPr>
          <w:sz w:val="24"/>
        </w:rPr>
        <w:t>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38E3" w:rsidRDefault="003738E3" w:rsidP="003738E3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Pra</w:t>
      </w:r>
      <w:r w:rsidR="00A90380">
        <w:rPr>
          <w:sz w:val="24"/>
        </w:rPr>
        <w:t>codawca nie jest przedsiębiorcą</w:t>
      </w:r>
      <w:r w:rsidR="00A90380">
        <w:rPr>
          <w:sz w:val="24"/>
        </w:rPr>
        <w:br/>
      </w:r>
      <w:r w:rsidR="00A90380" w:rsidRPr="00A90380">
        <w:rPr>
          <w:sz w:val="16"/>
          <w:szCs w:val="16"/>
        </w:rPr>
        <w:t>(właściwe zaznaczyć)</w:t>
      </w:r>
    </w:p>
    <w:p w:rsidR="003738E3" w:rsidRDefault="003738E3" w:rsidP="003738E3">
      <w:pPr>
        <w:pStyle w:val="Akapitzlist"/>
        <w:ind w:left="1080"/>
        <w:rPr>
          <w:sz w:val="24"/>
        </w:rPr>
      </w:pPr>
    </w:p>
    <w:p w:rsidR="002E2CE0" w:rsidRDefault="003738E3" w:rsidP="003738E3">
      <w:pPr>
        <w:rPr>
          <w:sz w:val="24"/>
        </w:rPr>
      </w:pPr>
      <w:r>
        <w:rPr>
          <w:sz w:val="24"/>
        </w:rPr>
        <w:t>Liczba zatrudnionych osób:…………..</w:t>
      </w:r>
    </w:p>
    <w:p w:rsidR="002E2CE0" w:rsidRDefault="002E2CE0" w:rsidP="003738E3">
      <w:pPr>
        <w:rPr>
          <w:sz w:val="24"/>
        </w:rPr>
      </w:pPr>
    </w:p>
    <w:p w:rsidR="003738E3" w:rsidRDefault="003738E3" w:rsidP="003738E3">
      <w:pPr>
        <w:rPr>
          <w:sz w:val="24"/>
        </w:rPr>
      </w:pPr>
      <w:r>
        <w:rPr>
          <w:sz w:val="24"/>
        </w:rPr>
        <w:t>Zapotrzebowanie na kształcenie ustawiczne pracodawców i pracowników w 2016 roku: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2844"/>
        <w:gridCol w:w="1179"/>
        <w:gridCol w:w="578"/>
        <w:gridCol w:w="3147"/>
      </w:tblGrid>
      <w:tr w:rsidR="003738E3" w:rsidTr="003738E3">
        <w:trPr>
          <w:trHeight w:val="335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Wyszczególnienie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 w:rsidP="00C73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Wiek osób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 w:rsidP="00C73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:rsidR="003738E3" w:rsidRDefault="003738E3" w:rsidP="00C73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osób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 w:rsidP="00C73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Szacowany koszt</w:t>
            </w:r>
          </w:p>
        </w:tc>
      </w:tr>
      <w:tr w:rsidR="003738E3" w:rsidTr="003738E3">
        <w:trPr>
          <w:trHeight w:val="213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</w:p>
          <w:p w:rsidR="003738E3" w:rsidRDefault="00373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Według rodzaju wsparcia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Pr="00C419F1" w:rsidRDefault="003738E3">
            <w:pPr>
              <w:rPr>
                <w:b/>
                <w:sz w:val="22"/>
                <w:szCs w:val="22"/>
              </w:rPr>
            </w:pPr>
            <w:r w:rsidRPr="00C419F1">
              <w:rPr>
                <w:b/>
                <w:sz w:val="22"/>
                <w:szCs w:val="22"/>
              </w:rPr>
              <w:t>Kursy</w:t>
            </w:r>
            <w:r w:rsidR="00C419F1" w:rsidRPr="00C419F1">
              <w:rPr>
                <w:b/>
                <w:sz w:val="22"/>
                <w:szCs w:val="22"/>
              </w:rPr>
              <w:t xml:space="preserve"> </w:t>
            </w:r>
            <w:r w:rsidR="00C419F1" w:rsidRPr="00C419F1">
              <w:rPr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15-24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45+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Pr="00C419F1" w:rsidRDefault="003738E3">
            <w:pPr>
              <w:rPr>
                <w:b/>
                <w:sz w:val="22"/>
                <w:szCs w:val="22"/>
              </w:rPr>
            </w:pPr>
            <w:r w:rsidRPr="00C419F1">
              <w:rPr>
                <w:b/>
                <w:sz w:val="22"/>
                <w:szCs w:val="22"/>
              </w:rPr>
              <w:t>Studia podyplomowe</w:t>
            </w:r>
            <w:r w:rsidR="00C419F1" w:rsidRPr="00C419F1">
              <w:rPr>
                <w:b/>
                <w:sz w:val="22"/>
                <w:szCs w:val="22"/>
              </w:rPr>
              <w:t xml:space="preserve"> </w:t>
            </w:r>
            <w:r w:rsidR="00C419F1" w:rsidRPr="00C419F1">
              <w:rPr>
                <w:sz w:val="22"/>
                <w:szCs w:val="22"/>
              </w:rPr>
              <w:t xml:space="preserve">realizowane z inicjatywy pracodawcy </w:t>
            </w:r>
            <w:bookmarkStart w:id="0" w:name="_GoBack"/>
            <w:bookmarkEnd w:id="0"/>
            <w:r w:rsidR="00C419F1" w:rsidRPr="00C419F1">
              <w:rPr>
                <w:sz w:val="22"/>
                <w:szCs w:val="22"/>
              </w:rPr>
              <w:t>lub za jego zgodą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15-24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45+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r>
              <w:rPr>
                <w:b/>
              </w:rPr>
              <w:t>Egzaminy</w:t>
            </w:r>
            <w:r>
              <w:t xml:space="preserve"> umożliwiające uzyskanie dokumentów potwierdzających nabycie umiejętności, kwalifikacji lub uprawnień zawodowych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15-24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45+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r>
              <w:rPr>
                <w:b/>
              </w:rPr>
              <w:t>Badania lekarskie i psychologiczne</w:t>
            </w:r>
            <w:r>
              <w:t xml:space="preserve"> wymagane do podjęcia kształcenia lub pracy zawodowej po ukończonym kształceniu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15-24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45+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Pr="009C77A6" w:rsidRDefault="003738E3">
            <w:r w:rsidRPr="009C77A6">
              <w:rPr>
                <w:b/>
              </w:rPr>
              <w:t>Ubezpieczenie od następstw nieszczęśliwych wypadków</w:t>
            </w:r>
            <w:r w:rsidRPr="009C77A6">
              <w:t xml:space="preserve"> w związku z podjętym kształceniem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15-24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4"/>
              </w:rPr>
            </w:pPr>
            <w:r>
              <w:rPr>
                <w:sz w:val="24"/>
              </w:rPr>
              <w:t>45+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3" w:rsidRDefault="003738E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3" w:rsidRDefault="003738E3">
            <w:pPr>
              <w:rPr>
                <w:sz w:val="24"/>
              </w:rPr>
            </w:pPr>
          </w:p>
        </w:tc>
      </w:tr>
      <w:tr w:rsidR="003738E3" w:rsidTr="003738E3">
        <w:trPr>
          <w:gridBefore w:val="4"/>
          <w:wBefore w:w="6767" w:type="dxa"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E3" w:rsidRDefault="00373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RAZEM:</w:t>
            </w:r>
          </w:p>
        </w:tc>
      </w:tr>
    </w:tbl>
    <w:p w:rsidR="003738E3" w:rsidRDefault="003738E3" w:rsidP="003738E3">
      <w:pPr>
        <w:rPr>
          <w:sz w:val="24"/>
        </w:rPr>
      </w:pPr>
    </w:p>
    <w:p w:rsidR="003738E3" w:rsidRDefault="003738E3" w:rsidP="003738E3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UWAGA:</w:t>
      </w:r>
    </w:p>
    <w:p w:rsidR="003738E3" w:rsidRDefault="003738E3" w:rsidP="003738E3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Ankieta ma charakter badawczy i nie stanowi zobowiązania dla żadnej ze stron.</w:t>
      </w:r>
    </w:p>
    <w:p w:rsidR="00C85E07" w:rsidRDefault="00C85E07" w:rsidP="003738E3"/>
    <w:p w:rsidR="00507059" w:rsidRDefault="00507059" w:rsidP="00507059">
      <w:pPr>
        <w:jc w:val="both"/>
      </w:pPr>
    </w:p>
    <w:p w:rsidR="00C73338" w:rsidRDefault="00507059" w:rsidP="00C73338">
      <w:pPr>
        <w:ind w:firstLine="284"/>
      </w:pPr>
      <w:r>
        <w:t>Krajowy Fundusz Szkoleniowy to instrument polityki rynku pracy, który ma na celu zapobiegan</w:t>
      </w:r>
      <w:r w:rsidR="006813FC">
        <w:t>ie utraty</w:t>
      </w:r>
      <w:r>
        <w:t xml:space="preserve"> zatrudnienia przez osoby pracujące</w:t>
      </w:r>
      <w:r w:rsidR="006813FC">
        <w:t xml:space="preserve"> poprzez wspieranie ich rozwoju zawodowego. Środki z KFS mają wspierać pracodawców inwestujących w kształcenie osób pracujących. Zgodnie z </w:t>
      </w:r>
      <w:r w:rsidR="006813FC" w:rsidRPr="00287864">
        <w:rPr>
          <w:b/>
        </w:rPr>
        <w:t>art. 69a ust. 2 pkt. 1</w:t>
      </w:r>
      <w:r w:rsidR="006813FC">
        <w:t xml:space="preserve"> ustawy </w:t>
      </w:r>
      <w:r w:rsidR="00102F27">
        <w:t>można</w:t>
      </w:r>
      <w:r w:rsidR="006813FC">
        <w:t xml:space="preserve"> środki przeznaczyć na:</w:t>
      </w:r>
    </w:p>
    <w:p w:rsidR="006813FC" w:rsidRPr="00F223C2" w:rsidRDefault="006813FC" w:rsidP="006813FC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F223C2">
        <w:t>Kursy i studia podyplomowe realizowane z inicjatywy pracodawcy lub za jego zgodą,</w:t>
      </w:r>
    </w:p>
    <w:p w:rsidR="006813FC" w:rsidRPr="00F223C2" w:rsidRDefault="006813FC" w:rsidP="006813FC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F223C2">
        <w:t>Egzaminy umożliwiające uzyskanie dyplomów potwierdzających nabycie umiejętności, kwalifikacji lub uprawnień zawodowych,</w:t>
      </w:r>
    </w:p>
    <w:p w:rsidR="006813FC" w:rsidRDefault="006813FC" w:rsidP="006813FC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F223C2">
        <w:t>Badania lekarskie i psychologiczne wymagane do podjęcia kształcenia lub pracy zawo</w:t>
      </w:r>
      <w:r>
        <w:t>dowej po ukończonym kształceniu</w:t>
      </w:r>
    </w:p>
    <w:p w:rsidR="006813FC" w:rsidRDefault="006813FC" w:rsidP="006813FC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F223C2">
        <w:t>Ubezpieczenie od następstw nieszczęśliwych wypadków w związku z podjętym kształceniem</w:t>
      </w:r>
    </w:p>
    <w:p w:rsidR="00287864" w:rsidRPr="00F223C2" w:rsidRDefault="006813FC" w:rsidP="003A4CC3">
      <w:pPr>
        <w:ind w:firstLine="284"/>
        <w:jc w:val="both"/>
      </w:pPr>
      <w:r>
        <w:t>O środki z KFS mogą wystąpić pracodawcy w rozumieniu ustawy, którzy zamierzają inwestować w podnoszenie własnych kompetencji lub kompe</w:t>
      </w:r>
      <w:r w:rsidR="00287864">
        <w:t>tencji osób pracujących w firmie (bez względu na rodzaj umowy o pracę oraz czy jest to praca na pełen etat czy część etatu). Pracodawca jako osoba pracująca może skorzystać z kształcenia ustawicznego finansowanego przez KFS na takich samych zasad</w:t>
      </w:r>
      <w:r w:rsidR="00641DD6">
        <w:t>a</w:t>
      </w:r>
      <w:r w:rsidR="00287864">
        <w:t xml:space="preserve">ch jak jego pracownicy. </w:t>
      </w:r>
      <w:r w:rsidR="00287864" w:rsidRPr="00F223C2">
        <w:t xml:space="preserve">Pracodawca, zgodnie z </w:t>
      </w:r>
      <w:r w:rsidR="00287864" w:rsidRPr="00F223C2">
        <w:rPr>
          <w:b/>
        </w:rPr>
        <w:t xml:space="preserve">art. 69b ust. 1 </w:t>
      </w:r>
      <w:r w:rsidR="00287864" w:rsidRPr="00F223C2">
        <w:t xml:space="preserve">ustawy </w:t>
      </w:r>
      <w:r w:rsidR="00287864" w:rsidRPr="00F223C2">
        <w:rPr>
          <w:i/>
        </w:rPr>
        <w:t xml:space="preserve">o promocji zatrudnienia i instytucjach rynku pracy, </w:t>
      </w:r>
      <w:r w:rsidR="00287864" w:rsidRPr="00F223C2">
        <w:t>może otrzymać środki na sfinansowanie:</w:t>
      </w:r>
    </w:p>
    <w:p w:rsidR="00287864" w:rsidRDefault="00287864" w:rsidP="00287864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287864">
        <w:rPr>
          <w:b/>
        </w:rPr>
        <w:t>80% kosztów kształcenia ustawicznego</w:t>
      </w:r>
      <w:r w:rsidRPr="00F223C2">
        <w:t>, nie więcej jednak niż do wysokości 300% przeciętnego wynagrodzenia w danym roku na jednego uczestnika</w:t>
      </w:r>
    </w:p>
    <w:p w:rsidR="006813FC" w:rsidRDefault="00287864" w:rsidP="00287864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287864">
        <w:rPr>
          <w:b/>
        </w:rPr>
        <w:t>100% kosztów kształcenia ustawicznego</w:t>
      </w:r>
      <w:r w:rsidRPr="00F223C2">
        <w:t xml:space="preserve"> – jeżeli należy do grupy </w:t>
      </w:r>
      <w:proofErr w:type="spellStart"/>
      <w:r w:rsidRPr="00F223C2">
        <w:t>mikroprzedsiębiorcó</w:t>
      </w:r>
      <w:r>
        <w:t>w</w:t>
      </w:r>
      <w:proofErr w:type="spellEnd"/>
      <w:r>
        <w:t>*</w:t>
      </w:r>
      <w:r w:rsidR="00C73338">
        <w:t xml:space="preserve">, </w:t>
      </w:r>
      <w:r w:rsidRPr="00F223C2">
        <w:t>nie więcej jednak niż do wysokości 300% przeciętnego wynagrodzenia w danym roku na jednego uczestnika</w:t>
      </w:r>
      <w:r>
        <w:t>.</w:t>
      </w:r>
    </w:p>
    <w:p w:rsidR="003A4CC3" w:rsidRPr="00F223C2" w:rsidRDefault="003A4CC3" w:rsidP="003A4CC3">
      <w:pPr>
        <w:ind w:firstLine="142"/>
        <w:jc w:val="both"/>
      </w:pPr>
      <w:r w:rsidRPr="00F223C2">
        <w:t xml:space="preserve">Środki KFS przekazane pracodawcom prowadzącym działalność gospodarczą w rozumieniu prawa konkurencji UE, </w:t>
      </w:r>
      <w:r w:rsidRPr="00F223C2">
        <w:rPr>
          <w:b/>
        </w:rPr>
        <w:t xml:space="preserve">stanowią pomoc </w:t>
      </w:r>
      <w:r w:rsidRPr="00F223C2">
        <w:rPr>
          <w:b/>
          <w:i/>
        </w:rPr>
        <w:t xml:space="preserve">de </w:t>
      </w:r>
      <w:proofErr w:type="spellStart"/>
      <w:r w:rsidRPr="00F223C2">
        <w:rPr>
          <w:b/>
          <w:i/>
        </w:rPr>
        <w:t>minimis</w:t>
      </w:r>
      <w:proofErr w:type="spellEnd"/>
      <w:r w:rsidRPr="00F223C2">
        <w:t xml:space="preserve">, o której mowa we właściwych przepisach UE dotyczących pomocy </w:t>
      </w:r>
      <w:r w:rsidRPr="00F223C2">
        <w:rPr>
          <w:i/>
        </w:rPr>
        <w:t xml:space="preserve">de </w:t>
      </w:r>
      <w:proofErr w:type="spellStart"/>
      <w:r w:rsidRPr="00F223C2">
        <w:rPr>
          <w:i/>
        </w:rPr>
        <w:t>minimis</w:t>
      </w:r>
      <w:proofErr w:type="spellEnd"/>
      <w:r w:rsidRPr="00F223C2">
        <w:rPr>
          <w:i/>
        </w:rPr>
        <w:t xml:space="preserve"> </w:t>
      </w:r>
      <w:r w:rsidRPr="00F223C2">
        <w:t xml:space="preserve">oraz pomocy </w:t>
      </w:r>
      <w:r w:rsidRPr="00F223C2">
        <w:rPr>
          <w:i/>
        </w:rPr>
        <w:t xml:space="preserve">de </w:t>
      </w:r>
      <w:proofErr w:type="spellStart"/>
      <w:r w:rsidRPr="00F223C2">
        <w:rPr>
          <w:i/>
        </w:rPr>
        <w:t>minimis</w:t>
      </w:r>
      <w:proofErr w:type="spellEnd"/>
      <w:r w:rsidRPr="00F223C2">
        <w:rPr>
          <w:i/>
        </w:rPr>
        <w:t xml:space="preserve"> </w:t>
      </w:r>
      <w:r w:rsidRPr="00F223C2">
        <w:t>w rolnictwie lub rybołówstwie.</w:t>
      </w:r>
    </w:p>
    <w:p w:rsidR="003A4CC3" w:rsidRDefault="003A4CC3" w:rsidP="003A4CC3">
      <w:pPr>
        <w:spacing w:after="200" w:line="276" w:lineRule="auto"/>
        <w:jc w:val="both"/>
      </w:pPr>
    </w:p>
    <w:p w:rsidR="00287864" w:rsidRDefault="00287864" w:rsidP="00287864">
      <w:pPr>
        <w:spacing w:after="200" w:line="276" w:lineRule="auto"/>
        <w:jc w:val="both"/>
      </w:pPr>
    </w:p>
    <w:p w:rsidR="00287864" w:rsidRDefault="00287864" w:rsidP="00287864">
      <w:pPr>
        <w:spacing w:after="200" w:line="276" w:lineRule="auto"/>
        <w:jc w:val="both"/>
      </w:pPr>
    </w:p>
    <w:p w:rsidR="003A4CC3" w:rsidRDefault="003A4CC3" w:rsidP="00287864">
      <w:pPr>
        <w:spacing w:after="200" w:line="276" w:lineRule="auto"/>
        <w:jc w:val="both"/>
      </w:pPr>
    </w:p>
    <w:p w:rsidR="00287864" w:rsidRDefault="00287864" w:rsidP="00287864">
      <w:pPr>
        <w:pStyle w:val="Akapitzlist"/>
        <w:ind w:left="142" w:hanging="142"/>
        <w:jc w:val="both"/>
        <w:rPr>
          <w:sz w:val="16"/>
          <w:szCs w:val="16"/>
        </w:rPr>
      </w:pPr>
      <w:r>
        <w:rPr>
          <w:b/>
        </w:rPr>
        <w:t>*</w:t>
      </w:r>
      <w:proofErr w:type="spellStart"/>
      <w:r>
        <w:rPr>
          <w:b/>
          <w:sz w:val="16"/>
          <w:szCs w:val="16"/>
        </w:rPr>
        <w:t>mikroprzedsiębiorca</w:t>
      </w:r>
      <w:proofErr w:type="spellEnd"/>
      <w:r>
        <w:rPr>
          <w:sz w:val="16"/>
          <w:szCs w:val="16"/>
        </w:rPr>
        <w:t>, to przedsiębiorca, który zatrudnia mniej niż 10 pracowników, a jego roczny obrót lub całkowity bilans nie przekracza 2 mln EUR, zgodnie z załącznikiem nr 1 rozporządzenia Komisji (WE) nr 800/2008 z dnia   6 sierpnia 2008r. uznającego niektóre rodzaje pomocy za zgodne ze wspólnym rynkiem w zastosowaniu art. 87 i 88 Trak</w:t>
      </w:r>
      <w:r w:rsidR="00851BDF">
        <w:rPr>
          <w:sz w:val="16"/>
          <w:szCs w:val="16"/>
        </w:rPr>
        <w:t>tatu (</w:t>
      </w:r>
      <w:r>
        <w:rPr>
          <w:sz w:val="16"/>
          <w:szCs w:val="16"/>
        </w:rPr>
        <w:t xml:space="preserve">ogólne rozporządzenie w sprawie </w:t>
      </w:r>
      <w:proofErr w:type="spellStart"/>
      <w:r>
        <w:rPr>
          <w:sz w:val="16"/>
          <w:szCs w:val="16"/>
        </w:rPr>
        <w:t>wyłączeń</w:t>
      </w:r>
      <w:proofErr w:type="spellEnd"/>
      <w:r>
        <w:rPr>
          <w:sz w:val="16"/>
          <w:szCs w:val="16"/>
        </w:rPr>
        <w:t xml:space="preserve"> blokowych) (Dz. Urz. UE L 214   z 09.08.2008, str.3)</w:t>
      </w:r>
    </w:p>
    <w:p w:rsidR="00287864" w:rsidRPr="003738E3" w:rsidRDefault="00287864" w:rsidP="00287864">
      <w:pPr>
        <w:spacing w:after="200" w:line="276" w:lineRule="auto"/>
        <w:ind w:left="360"/>
        <w:jc w:val="both"/>
      </w:pPr>
    </w:p>
    <w:sectPr w:rsidR="00287864" w:rsidRPr="003738E3" w:rsidSect="00F11BA7">
      <w:headerReference w:type="first" r:id="rId8"/>
      <w:pgSz w:w="11907" w:h="16840" w:code="9"/>
      <w:pgMar w:top="357" w:right="851" w:bottom="851" w:left="851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DC" w:rsidRDefault="00A724DC">
      <w:r>
        <w:separator/>
      </w:r>
    </w:p>
  </w:endnote>
  <w:endnote w:type="continuationSeparator" w:id="0">
    <w:p w:rsidR="00A724DC" w:rsidRDefault="00A7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DC" w:rsidRDefault="00A724DC">
      <w:r>
        <w:separator/>
      </w:r>
    </w:p>
  </w:footnote>
  <w:footnote w:type="continuationSeparator" w:id="0">
    <w:p w:rsidR="00A724DC" w:rsidRDefault="00A7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69" w:rsidRDefault="00413669" w:rsidP="00C529C7">
    <w:pPr>
      <w:framePr w:h="0" w:hSpace="141" w:wrap="around" w:vAnchor="text" w:hAnchor="page" w:x="1161" w:y="77"/>
      <w:rPr>
        <w:rFonts w:ascii="Albertus Medium" w:hAnsi="Albertus Medium"/>
        <w:b/>
      </w:rPr>
    </w:pPr>
  </w:p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413669" w:rsidRPr="00414C28">
      <w:trPr>
        <w:trHeight w:val="708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414C28" w:rsidRPr="00414C28" w:rsidRDefault="00414C28">
          <w:pPr>
            <w:rPr>
              <w:rFonts w:asciiTheme="minorHAnsi" w:hAnsiTheme="minorHAnsi"/>
              <w:b/>
            </w:rPr>
          </w:pPr>
          <w:r>
            <w:rPr>
              <w:rFonts w:ascii="Albertus Medium" w:hAnsi="Albertus Medium"/>
              <w:b/>
            </w:rPr>
            <w:object w:dxaOrig="583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1.75pt" o:ole="" o:bordertopcolor="this" o:borderleftcolor="this" o:borderbottomcolor="this" o:borderrightcolor="this" fillcolor="window">
                <v:imagedata r:id="rId1" o:title=""/>
                <w10:bordertop type="single" width="6" shadow="t"/>
                <w10:borderleft type="single" width="6" shadow="t"/>
                <w10:borderbottom type="single" width="6" shadow="t"/>
                <w10:borderright type="single" width="6" shadow="t"/>
              </v:shape>
              <o:OLEObject Type="Embed" ProgID="PBrush" ShapeID="_x0000_i1025" DrawAspect="Content" ObjectID="_1510394229" r:id="rId2"/>
            </w:object>
          </w:r>
          <w:r>
            <w:rPr>
              <w:rFonts w:ascii="Albertus Medium" w:hAnsi="Albertus Medium"/>
              <w:b/>
            </w:rPr>
            <w:t xml:space="preserve">  </w:t>
          </w:r>
          <w:r w:rsidRPr="00414C28">
            <w:rPr>
              <w:rFonts w:asciiTheme="minorHAnsi" w:hAnsiTheme="minorHAnsi"/>
              <w:b/>
              <w:sz w:val="44"/>
              <w:szCs w:val="44"/>
            </w:rPr>
            <w:t>POWIATOWY URZĄD PRACY W STRZYŻOWIE</w:t>
          </w:r>
          <w:r>
            <w:rPr>
              <w:rFonts w:asciiTheme="minorHAnsi" w:hAnsiTheme="minorHAnsi"/>
              <w:b/>
            </w:rPr>
            <w:br/>
          </w:r>
          <w:r w:rsidRPr="00414C28">
            <w:rPr>
              <w:rFonts w:asciiTheme="minorHAnsi" w:hAnsiTheme="minorHAnsi"/>
              <w:b/>
              <w:sz w:val="22"/>
              <w:szCs w:val="22"/>
            </w:rPr>
            <w:t xml:space="preserve">38-100 Strzyżów, ul. Daszyńskiego 2, 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  </w:t>
          </w:r>
          <w:r w:rsidRPr="00414C28">
            <w:rPr>
              <w:rFonts w:asciiTheme="minorHAnsi" w:hAnsiTheme="minorHAnsi"/>
              <w:b/>
              <w:sz w:val="22"/>
              <w:szCs w:val="22"/>
            </w:rPr>
            <w:t>tel. (17) 2761 074,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  </w:t>
          </w:r>
          <w:r w:rsidRPr="00414C28">
            <w:rPr>
              <w:rFonts w:asciiTheme="minorHAnsi" w:hAnsiTheme="minorHAnsi"/>
              <w:b/>
              <w:sz w:val="22"/>
              <w:szCs w:val="22"/>
            </w:rPr>
            <w:t xml:space="preserve"> fax. (17) 2763 079, 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  </w:t>
          </w:r>
          <w:r w:rsidRPr="00414C28">
            <w:rPr>
              <w:rFonts w:asciiTheme="minorHAnsi" w:hAnsiTheme="minorHAnsi"/>
              <w:b/>
              <w:sz w:val="22"/>
              <w:szCs w:val="22"/>
            </w:rPr>
            <w:t>e-mail: rzst@praca.gov.pl</w:t>
          </w:r>
        </w:p>
      </w:tc>
    </w:tr>
  </w:tbl>
  <w:p w:rsidR="00413669" w:rsidRDefault="00413669">
    <w:pPr>
      <w:rPr>
        <w:rFonts w:ascii="Albertus Medium" w:hAnsi="Albertus Medium"/>
        <w:b/>
        <w:lang w:val="de-DE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413669" w:rsidRPr="00414C28">
      <w:trPr>
        <w:trHeight w:val="168"/>
      </w:trPr>
      <w:tc>
        <w:tcPr>
          <w:tcW w:w="1006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413669" w:rsidRDefault="00413669">
          <w:pPr>
            <w:pStyle w:val="Nagwek"/>
            <w:rPr>
              <w:rFonts w:ascii="Albertus Medium" w:hAnsi="Albertus Medium"/>
              <w:lang w:val="de-DE"/>
            </w:rPr>
          </w:pPr>
        </w:p>
      </w:tc>
    </w:tr>
  </w:tbl>
  <w:p w:rsidR="00413669" w:rsidRDefault="00413669">
    <w:pPr>
      <w:pStyle w:val="Nagwek"/>
      <w:rPr>
        <w:rFonts w:ascii="Albertus Medium" w:hAnsi="Albertus Medium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935614C"/>
    <w:multiLevelType w:val="hybridMultilevel"/>
    <w:tmpl w:val="1A72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0CE"/>
    <w:multiLevelType w:val="hybridMultilevel"/>
    <w:tmpl w:val="28A0FB1A"/>
    <w:lvl w:ilvl="0" w:tplc="849A773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A1853"/>
    <w:multiLevelType w:val="hybridMultilevel"/>
    <w:tmpl w:val="D27A41A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1C4BDA"/>
    <w:multiLevelType w:val="hybridMultilevel"/>
    <w:tmpl w:val="D27A41A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651DD8"/>
    <w:multiLevelType w:val="hybridMultilevel"/>
    <w:tmpl w:val="92DA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74B"/>
    <w:multiLevelType w:val="hybridMultilevel"/>
    <w:tmpl w:val="D27A41A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B53CB2"/>
    <w:multiLevelType w:val="hybridMultilevel"/>
    <w:tmpl w:val="92DA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3"/>
    <w:rsid w:val="00035301"/>
    <w:rsid w:val="000C41EE"/>
    <w:rsid w:val="000D3022"/>
    <w:rsid w:val="00102F27"/>
    <w:rsid w:val="00110C82"/>
    <w:rsid w:val="00111286"/>
    <w:rsid w:val="00134FE6"/>
    <w:rsid w:val="00154EF9"/>
    <w:rsid w:val="00166619"/>
    <w:rsid w:val="00172E79"/>
    <w:rsid w:val="001A7A54"/>
    <w:rsid w:val="001F70C3"/>
    <w:rsid w:val="00213895"/>
    <w:rsid w:val="00227302"/>
    <w:rsid w:val="00241B7E"/>
    <w:rsid w:val="00250FDB"/>
    <w:rsid w:val="002558D3"/>
    <w:rsid w:val="00257744"/>
    <w:rsid w:val="002840DF"/>
    <w:rsid w:val="00287864"/>
    <w:rsid w:val="00294A2B"/>
    <w:rsid w:val="002A0EF8"/>
    <w:rsid w:val="002A72A2"/>
    <w:rsid w:val="002A7A9A"/>
    <w:rsid w:val="002B5529"/>
    <w:rsid w:val="002B60E1"/>
    <w:rsid w:val="002C7487"/>
    <w:rsid w:val="002E2CE0"/>
    <w:rsid w:val="002F5E1D"/>
    <w:rsid w:val="003345AF"/>
    <w:rsid w:val="00350A6E"/>
    <w:rsid w:val="003738E3"/>
    <w:rsid w:val="003A4A94"/>
    <w:rsid w:val="003A4CC3"/>
    <w:rsid w:val="00413669"/>
    <w:rsid w:val="00414C28"/>
    <w:rsid w:val="004461CF"/>
    <w:rsid w:val="004976BD"/>
    <w:rsid w:val="004C4FA9"/>
    <w:rsid w:val="005069A0"/>
    <w:rsid w:val="00507059"/>
    <w:rsid w:val="005A260F"/>
    <w:rsid w:val="005B4D42"/>
    <w:rsid w:val="005C5B4E"/>
    <w:rsid w:val="00610411"/>
    <w:rsid w:val="006154AB"/>
    <w:rsid w:val="00636CAD"/>
    <w:rsid w:val="00641DD6"/>
    <w:rsid w:val="006813FC"/>
    <w:rsid w:val="00681407"/>
    <w:rsid w:val="006D5201"/>
    <w:rsid w:val="007268AA"/>
    <w:rsid w:val="00732CF7"/>
    <w:rsid w:val="0076453C"/>
    <w:rsid w:val="007760C9"/>
    <w:rsid w:val="007C2550"/>
    <w:rsid w:val="00851BDF"/>
    <w:rsid w:val="00856351"/>
    <w:rsid w:val="008B72A5"/>
    <w:rsid w:val="008C1D8F"/>
    <w:rsid w:val="008F35D5"/>
    <w:rsid w:val="00910BC8"/>
    <w:rsid w:val="00916F44"/>
    <w:rsid w:val="0093400B"/>
    <w:rsid w:val="009C44AE"/>
    <w:rsid w:val="009C77A6"/>
    <w:rsid w:val="009E0079"/>
    <w:rsid w:val="009F7234"/>
    <w:rsid w:val="00A619FB"/>
    <w:rsid w:val="00A724DC"/>
    <w:rsid w:val="00A90380"/>
    <w:rsid w:val="00A95DFF"/>
    <w:rsid w:val="00AB529F"/>
    <w:rsid w:val="00B9155E"/>
    <w:rsid w:val="00BA14BA"/>
    <w:rsid w:val="00BB04BA"/>
    <w:rsid w:val="00BC05D5"/>
    <w:rsid w:val="00BC0F0B"/>
    <w:rsid w:val="00BD0342"/>
    <w:rsid w:val="00C079D5"/>
    <w:rsid w:val="00C419F1"/>
    <w:rsid w:val="00C45186"/>
    <w:rsid w:val="00C529C7"/>
    <w:rsid w:val="00C73338"/>
    <w:rsid w:val="00C85E07"/>
    <w:rsid w:val="00C87906"/>
    <w:rsid w:val="00CB1D63"/>
    <w:rsid w:val="00CB2F63"/>
    <w:rsid w:val="00CE40D5"/>
    <w:rsid w:val="00CF6011"/>
    <w:rsid w:val="00CF6415"/>
    <w:rsid w:val="00D37932"/>
    <w:rsid w:val="00D46A0B"/>
    <w:rsid w:val="00D5308D"/>
    <w:rsid w:val="00DE4D35"/>
    <w:rsid w:val="00E064AA"/>
    <w:rsid w:val="00E1719D"/>
    <w:rsid w:val="00E45BB2"/>
    <w:rsid w:val="00E51764"/>
    <w:rsid w:val="00E91B3F"/>
    <w:rsid w:val="00E932E4"/>
    <w:rsid w:val="00EA0821"/>
    <w:rsid w:val="00EA3661"/>
    <w:rsid w:val="00EF4614"/>
    <w:rsid w:val="00F05D68"/>
    <w:rsid w:val="00F07405"/>
    <w:rsid w:val="00F11BA7"/>
    <w:rsid w:val="00F37EB3"/>
    <w:rsid w:val="00F74A68"/>
    <w:rsid w:val="00F97E78"/>
    <w:rsid w:val="00FA07ED"/>
    <w:rsid w:val="00FB21E3"/>
    <w:rsid w:val="00FD0F68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CF3C2C-83D6-4238-A573-EBDB041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Spistreci1">
    <w:name w:val="toc 1"/>
    <w:basedOn w:val="Normalny"/>
    <w:next w:val="Normalny"/>
    <w:semiHidden/>
    <w:pPr>
      <w:tabs>
        <w:tab w:val="right" w:pos="9071"/>
      </w:tabs>
      <w:spacing w:before="360"/>
    </w:pPr>
    <w:rPr>
      <w:rFonts w:ascii="Arial" w:hAnsi="Arial"/>
      <w:b/>
      <w:caps/>
      <w:sz w:val="24"/>
    </w:rPr>
  </w:style>
  <w:style w:type="paragraph" w:styleId="Spistreci2">
    <w:name w:val="toc 2"/>
    <w:basedOn w:val="Normalny"/>
    <w:next w:val="Normalny"/>
    <w:semiHidden/>
    <w:pPr>
      <w:tabs>
        <w:tab w:val="right" w:pos="9071"/>
      </w:tabs>
      <w:spacing w:before="240"/>
      <w:ind w:left="200"/>
    </w:pPr>
    <w:rPr>
      <w:b/>
    </w:rPr>
  </w:style>
  <w:style w:type="paragraph" w:styleId="Spistreci3">
    <w:name w:val="toc 3"/>
    <w:basedOn w:val="Normalny"/>
    <w:next w:val="Normalny"/>
    <w:semiHidden/>
    <w:pPr>
      <w:tabs>
        <w:tab w:val="right" w:pos="9071"/>
      </w:tabs>
      <w:ind w:left="400"/>
    </w:pPr>
  </w:style>
  <w:style w:type="paragraph" w:styleId="Spistreci4">
    <w:name w:val="toc 4"/>
    <w:basedOn w:val="Normalny"/>
    <w:next w:val="Normalny"/>
    <w:semiHidden/>
    <w:pPr>
      <w:tabs>
        <w:tab w:val="right" w:pos="9071"/>
      </w:tabs>
      <w:ind w:left="600"/>
    </w:pPr>
  </w:style>
  <w:style w:type="paragraph" w:styleId="Spistreci5">
    <w:name w:val="toc 5"/>
    <w:basedOn w:val="Normalny"/>
    <w:next w:val="Normalny"/>
    <w:semiHidden/>
    <w:pPr>
      <w:tabs>
        <w:tab w:val="right" w:pos="9071"/>
      </w:tabs>
      <w:ind w:left="800"/>
    </w:pPr>
  </w:style>
  <w:style w:type="paragraph" w:styleId="Spistreci6">
    <w:name w:val="toc 6"/>
    <w:basedOn w:val="Normalny"/>
    <w:next w:val="Normalny"/>
    <w:semiHidden/>
    <w:pPr>
      <w:tabs>
        <w:tab w:val="right" w:pos="9071"/>
      </w:tabs>
      <w:ind w:left="1000"/>
    </w:pPr>
  </w:style>
  <w:style w:type="paragraph" w:styleId="Spistreci7">
    <w:name w:val="toc 7"/>
    <w:basedOn w:val="Normalny"/>
    <w:next w:val="Normalny"/>
    <w:semiHidden/>
    <w:pPr>
      <w:tabs>
        <w:tab w:val="right" w:pos="9071"/>
      </w:tabs>
      <w:ind w:left="1200"/>
    </w:pPr>
  </w:style>
  <w:style w:type="paragraph" w:styleId="Spistreci8">
    <w:name w:val="toc 8"/>
    <w:basedOn w:val="Normalny"/>
    <w:next w:val="Normalny"/>
    <w:semiHidden/>
    <w:pPr>
      <w:tabs>
        <w:tab w:val="right" w:pos="9071"/>
      </w:tabs>
      <w:ind w:left="1400"/>
    </w:pPr>
  </w:style>
  <w:style w:type="paragraph" w:styleId="Spistreci9">
    <w:name w:val="toc 9"/>
    <w:basedOn w:val="Normalny"/>
    <w:next w:val="Normalny"/>
    <w:semiHidden/>
    <w:pPr>
      <w:tabs>
        <w:tab w:val="right" w:pos="9071"/>
      </w:tabs>
      <w:ind w:left="1600"/>
    </w:pPr>
  </w:style>
  <w:style w:type="paragraph" w:styleId="Tekstpodstawowy">
    <w:name w:val="Body Text"/>
    <w:basedOn w:val="Normalny"/>
    <w:rPr>
      <w:sz w:val="28"/>
      <w:szCs w:val="24"/>
    </w:rPr>
  </w:style>
  <w:style w:type="paragraph" w:styleId="Tekstpodstawowy2">
    <w:name w:val="Body Text 2"/>
    <w:basedOn w:val="Normalny"/>
    <w:rPr>
      <w:sz w:val="32"/>
    </w:rPr>
  </w:style>
  <w:style w:type="paragraph" w:customStyle="1" w:styleId="Styl">
    <w:name w:val="Styl"/>
    <w:rsid w:val="00C451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CF64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E07"/>
    <w:pPr>
      <w:ind w:left="720"/>
      <w:contextualSpacing/>
    </w:pPr>
  </w:style>
  <w:style w:type="character" w:styleId="Hipercze">
    <w:name w:val="Hyperlink"/>
    <w:basedOn w:val="Domylnaczcionkaakapitu"/>
    <w:unhideWhenUsed/>
    <w:rsid w:val="0041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PR-ZE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0846-6FBE-4C5A-938B-393B771F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SPR-ZESP</Template>
  <TotalTime>79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Przeprowadzone działania: </vt:lpstr>
    </vt:vector>
  </TitlesOfParts>
  <Company>KUP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Przeprowadzone działania:</dc:title>
  <dc:subject/>
  <dc:creator>KUP</dc:creator>
  <cp:keywords/>
  <cp:lastModifiedBy>user323</cp:lastModifiedBy>
  <cp:revision>13</cp:revision>
  <cp:lastPrinted>2015-11-30T11:53:00Z</cp:lastPrinted>
  <dcterms:created xsi:type="dcterms:W3CDTF">2015-11-30T10:33:00Z</dcterms:created>
  <dcterms:modified xsi:type="dcterms:W3CDTF">2015-11-30T12:11:00Z</dcterms:modified>
</cp:coreProperties>
</file>